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>Коэффициент износа основных фондов предприятия по состоянию на 31.12.20</w:t>
      </w:r>
      <w:r w:rsidR="00DA44A5">
        <w:t>2</w:t>
      </w:r>
      <w:r w:rsidR="002A328F">
        <w:t>1</w:t>
      </w:r>
      <w:bookmarkStart w:id="0" w:name="_GoBack"/>
      <w:bookmarkEnd w:id="0"/>
      <w:r>
        <w:t xml:space="preserve">г. составляет: </w:t>
      </w:r>
    </w:p>
    <w:p w:rsidR="00506EAD" w:rsidRDefault="00506EAD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tbl>
      <w:tblPr>
        <w:tblW w:w="4128" w:type="dxa"/>
        <w:tblInd w:w="93" w:type="dxa"/>
        <w:tblLook w:val="04A0" w:firstRow="1" w:lastRow="0" w:firstColumn="1" w:lastColumn="0" w:noHBand="0" w:noVBand="1"/>
      </w:tblPr>
      <w:tblGrid>
        <w:gridCol w:w="4128"/>
      </w:tblGrid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2A328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- 90 %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кабельным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2A328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- 87 %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воздушным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2A328F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>- 85 % по трансформаторным подстанциям.</w:t>
            </w:r>
          </w:p>
        </w:tc>
      </w:tr>
    </w:tbl>
    <w:p w:rsidR="002A328F" w:rsidRPr="00B0769B" w:rsidRDefault="002A328F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sectPr w:rsidR="002A328F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2A328F"/>
    <w:rsid w:val="00506EAD"/>
    <w:rsid w:val="005656BF"/>
    <w:rsid w:val="00A31A84"/>
    <w:rsid w:val="00AE2A68"/>
    <w:rsid w:val="00B05071"/>
    <w:rsid w:val="00B0769B"/>
    <w:rsid w:val="00DA44A5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Николаева Ирина Николаевна</cp:lastModifiedBy>
  <cp:revision>2</cp:revision>
  <cp:lastPrinted>2020-08-11T01:08:00Z</cp:lastPrinted>
  <dcterms:created xsi:type="dcterms:W3CDTF">2022-04-12T02:03:00Z</dcterms:created>
  <dcterms:modified xsi:type="dcterms:W3CDTF">2022-04-12T02:03:00Z</dcterms:modified>
</cp:coreProperties>
</file>